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35E" w:rsidRDefault="0013235E">
      <w:pPr>
        <w:pStyle w:val="BodyText"/>
        <w:spacing w:before="9"/>
        <w:rPr>
          <w:sz w:val="13"/>
        </w:rPr>
      </w:pPr>
    </w:p>
    <w:p w:rsidR="00840E79" w:rsidRDefault="00840E79">
      <w:pPr>
        <w:spacing w:before="51"/>
        <w:ind w:left="2687"/>
        <w:rPr>
          <w:rFonts w:ascii="Georgia"/>
          <w:sz w:val="32"/>
        </w:rPr>
      </w:pPr>
    </w:p>
    <w:p w:rsidR="00840E79" w:rsidRDefault="00840E79">
      <w:pPr>
        <w:spacing w:before="51"/>
        <w:ind w:left="2687"/>
        <w:rPr>
          <w:rFonts w:ascii="Georgia"/>
          <w:sz w:val="32"/>
        </w:rPr>
      </w:pPr>
    </w:p>
    <w:p w:rsidR="0013235E" w:rsidRPr="00CC40EF" w:rsidRDefault="00A4043F">
      <w:pPr>
        <w:spacing w:before="51"/>
        <w:ind w:left="2687"/>
        <w:rPr>
          <w:rFonts w:ascii="Georgia"/>
          <w:b/>
          <w:sz w:val="32"/>
        </w:rPr>
      </w:pPr>
      <w:r w:rsidRPr="00CC40EF">
        <w:rPr>
          <w:rFonts w:ascii="Georgia"/>
          <w:b/>
          <w:sz w:val="32"/>
        </w:rPr>
        <w:t>ISA invites Applications</w:t>
      </w:r>
      <w:r w:rsidR="002F4E04" w:rsidRPr="00CC40EF">
        <w:rPr>
          <w:rFonts w:ascii="Georgia"/>
          <w:b/>
          <w:sz w:val="32"/>
        </w:rPr>
        <w:t xml:space="preserve"> on</w:t>
      </w:r>
    </w:p>
    <w:p w:rsidR="0013235E" w:rsidRPr="00CC40EF" w:rsidRDefault="002F4E04">
      <w:pPr>
        <w:spacing w:before="167"/>
        <w:ind w:left="2096"/>
        <w:rPr>
          <w:b/>
          <w:sz w:val="28"/>
        </w:rPr>
      </w:pPr>
      <w:r w:rsidRPr="00CC40EF">
        <w:rPr>
          <w:b/>
          <w:w w:val="105"/>
          <w:sz w:val="28"/>
        </w:rPr>
        <w:t>2019 “Global SSL Showcase Top100”</w:t>
      </w:r>
      <w:r w:rsidR="00A4043F" w:rsidRPr="00CC40EF">
        <w:rPr>
          <w:b/>
          <w:w w:val="105"/>
          <w:sz w:val="28"/>
        </w:rPr>
        <w:t xml:space="preserve"> Awards</w:t>
      </w:r>
    </w:p>
    <w:p w:rsidR="0013235E" w:rsidRDefault="0013235E">
      <w:pPr>
        <w:pStyle w:val="BodyText"/>
        <w:spacing w:before="4"/>
        <w:rPr>
          <w:sz w:val="37"/>
        </w:rPr>
      </w:pPr>
    </w:p>
    <w:p w:rsidR="0013235E" w:rsidRPr="002F5880" w:rsidRDefault="00A4043F" w:rsidP="00AA3BDF">
      <w:pPr>
        <w:spacing w:line="276" w:lineRule="auto"/>
        <w:ind w:left="157"/>
        <w:jc w:val="both"/>
        <w:rPr>
          <w:b/>
          <w:sz w:val="24"/>
        </w:rPr>
      </w:pPr>
      <w:r w:rsidRPr="002F5880">
        <w:rPr>
          <w:b/>
          <w:w w:val="105"/>
          <w:sz w:val="24"/>
        </w:rPr>
        <w:t>Like each year, t</w:t>
      </w:r>
      <w:r w:rsidR="002F4E04" w:rsidRPr="002F5880">
        <w:rPr>
          <w:b/>
          <w:w w:val="105"/>
          <w:sz w:val="24"/>
        </w:rPr>
        <w:t xml:space="preserve">he Global SSL </w:t>
      </w:r>
      <w:r w:rsidR="002F4E04" w:rsidRPr="002F5880">
        <w:rPr>
          <w:b/>
          <w:w w:val="105"/>
          <w:sz w:val="28"/>
        </w:rPr>
        <w:t xml:space="preserve">Showcase Top100 </w:t>
      </w:r>
      <w:r w:rsidR="002F4E04" w:rsidRPr="002F5880">
        <w:rPr>
          <w:b/>
          <w:w w:val="105"/>
          <w:sz w:val="24"/>
        </w:rPr>
        <w:t>(TOP100) is now open for application.</w:t>
      </w:r>
    </w:p>
    <w:p w:rsidR="0013235E" w:rsidRDefault="0013235E" w:rsidP="00AA3BDF">
      <w:pPr>
        <w:pStyle w:val="BodyText"/>
        <w:spacing w:before="3" w:line="276" w:lineRule="auto"/>
        <w:jc w:val="both"/>
      </w:pPr>
    </w:p>
    <w:p w:rsidR="0013235E" w:rsidRDefault="002F4E04" w:rsidP="00AA3BDF">
      <w:pPr>
        <w:pStyle w:val="BodyText"/>
        <w:spacing w:line="276" w:lineRule="auto"/>
        <w:ind w:left="157" w:right="121"/>
        <w:jc w:val="both"/>
      </w:pPr>
      <w:r>
        <w:t>The award of TOP100 has been successfully launched in 2012 and 73 extraordinary and influential SSL showcases worldwide have been selected as the winners till now.</w:t>
      </w:r>
    </w:p>
    <w:p w:rsidR="0013235E" w:rsidRDefault="002F4E04" w:rsidP="00AA3BDF">
      <w:pPr>
        <w:pStyle w:val="BodyText"/>
        <w:spacing w:before="160" w:line="276" w:lineRule="auto"/>
        <w:ind w:left="157" w:right="102"/>
        <w:jc w:val="both"/>
      </w:pPr>
      <w:r>
        <w:t>TOP100 aims to recommend and manifest the best SSL application projects worldwide by demonstrating the SSL R&amp;D achievements, the application of technology innovation, as well as the comprehensive results of best design, reliable products and best installation to promote the characteristics and advantages of SSL, and help people acquire more feel and experiences, and increase the influence of SSL to speed up the promotion and application of SSL in depth and width around the world.</w:t>
      </w:r>
    </w:p>
    <w:p w:rsidR="0013235E" w:rsidRDefault="002F4E04" w:rsidP="00AA3BDF">
      <w:pPr>
        <w:pStyle w:val="BodyText"/>
        <w:spacing w:before="163" w:line="276" w:lineRule="auto"/>
        <w:ind w:left="157" w:right="110"/>
        <w:jc w:val="both"/>
      </w:pPr>
      <w:r>
        <w:t>Sign up TOP100, companies can presents their exquisite design, or reliable products, or high quality installation, improve their global visibility and influence, and add credibility for the development of the companies to open up broader markets.</w:t>
      </w:r>
    </w:p>
    <w:p w:rsidR="0013235E" w:rsidRDefault="002F4E04" w:rsidP="00AA3BDF">
      <w:pPr>
        <w:pStyle w:val="BodyText"/>
        <w:spacing w:before="151" w:line="276" w:lineRule="auto"/>
        <w:ind w:left="157" w:right="112"/>
        <w:jc w:val="both"/>
      </w:pPr>
      <w:r>
        <w:t>To continue the meaningful work and provide more added valuable service to our members and the SSL industry, TOP100 2019 is now open for application.</w:t>
      </w:r>
    </w:p>
    <w:p w:rsidR="0013235E" w:rsidRDefault="002F4E04" w:rsidP="00AA3BDF">
      <w:pPr>
        <w:pStyle w:val="BodyText"/>
        <w:spacing w:before="160" w:line="276" w:lineRule="auto"/>
        <w:ind w:left="157"/>
        <w:jc w:val="both"/>
      </w:pPr>
      <w:r w:rsidRPr="009C0855">
        <w:rPr>
          <w:b/>
          <w:w w:val="110"/>
        </w:rPr>
        <w:t>Application requirements:</w:t>
      </w:r>
    </w:p>
    <w:p w:rsidR="0013235E" w:rsidRDefault="002F4E04" w:rsidP="00AA3BDF">
      <w:pPr>
        <w:pStyle w:val="ListParagraph"/>
        <w:numPr>
          <w:ilvl w:val="0"/>
          <w:numId w:val="1"/>
        </w:numPr>
        <w:tabs>
          <w:tab w:val="left" w:pos="384"/>
        </w:tabs>
        <w:spacing w:before="208" w:line="276" w:lineRule="auto"/>
        <w:jc w:val="both"/>
        <w:rPr>
          <w:sz w:val="24"/>
        </w:rPr>
      </w:pPr>
      <w:r>
        <w:rPr>
          <w:sz w:val="24"/>
        </w:rPr>
        <w:t>Any organization in SSL industry worldwide is eligible to</w:t>
      </w:r>
      <w:r>
        <w:rPr>
          <w:spacing w:val="-4"/>
          <w:sz w:val="24"/>
        </w:rPr>
        <w:t xml:space="preserve"> </w:t>
      </w:r>
      <w:r>
        <w:rPr>
          <w:sz w:val="24"/>
        </w:rPr>
        <w:t>apply.</w:t>
      </w:r>
    </w:p>
    <w:p w:rsidR="0013235E" w:rsidRDefault="002F4E04" w:rsidP="00AA3BDF">
      <w:pPr>
        <w:pStyle w:val="ListParagraph"/>
        <w:numPr>
          <w:ilvl w:val="0"/>
          <w:numId w:val="1"/>
        </w:numPr>
        <w:tabs>
          <w:tab w:val="left" w:pos="391"/>
        </w:tabs>
        <w:spacing w:before="193" w:line="276" w:lineRule="auto"/>
        <w:ind w:left="390" w:hanging="233"/>
        <w:jc w:val="both"/>
        <w:rPr>
          <w:sz w:val="24"/>
        </w:rPr>
      </w:pPr>
      <w:r>
        <w:rPr>
          <w:sz w:val="24"/>
        </w:rPr>
        <w:t>The applied project (s) shall be completed and accepted before May 10,</w:t>
      </w:r>
      <w:r>
        <w:rPr>
          <w:spacing w:val="2"/>
          <w:sz w:val="24"/>
        </w:rPr>
        <w:t xml:space="preserve"> </w:t>
      </w:r>
      <w:r>
        <w:rPr>
          <w:sz w:val="24"/>
        </w:rPr>
        <w:t>2019.</w:t>
      </w:r>
    </w:p>
    <w:p w:rsidR="0013235E" w:rsidRDefault="0013235E" w:rsidP="00AA3BDF">
      <w:pPr>
        <w:pStyle w:val="BodyText"/>
        <w:spacing w:before="3" w:line="276" w:lineRule="auto"/>
        <w:jc w:val="both"/>
        <w:rPr>
          <w:sz w:val="26"/>
        </w:rPr>
      </w:pPr>
    </w:p>
    <w:p w:rsidR="0013235E" w:rsidRPr="009C0855" w:rsidRDefault="002F4E04" w:rsidP="00AA3BDF">
      <w:pPr>
        <w:pStyle w:val="BodyText"/>
        <w:spacing w:line="276" w:lineRule="auto"/>
        <w:ind w:left="157"/>
        <w:jc w:val="both"/>
        <w:rPr>
          <w:b/>
        </w:rPr>
      </w:pPr>
      <w:r w:rsidRPr="009C0855">
        <w:rPr>
          <w:b/>
          <w:w w:val="110"/>
        </w:rPr>
        <w:t>Jury evaluation:</w:t>
      </w:r>
    </w:p>
    <w:p w:rsidR="0013235E" w:rsidRDefault="0013235E" w:rsidP="00AA3BDF">
      <w:pPr>
        <w:pStyle w:val="BodyText"/>
        <w:spacing w:before="9" w:line="276" w:lineRule="auto"/>
        <w:jc w:val="both"/>
        <w:rPr>
          <w:sz w:val="27"/>
        </w:rPr>
      </w:pPr>
    </w:p>
    <w:p w:rsidR="0013235E" w:rsidRDefault="002F4E04" w:rsidP="00AA3BDF">
      <w:pPr>
        <w:pStyle w:val="BodyText"/>
        <w:spacing w:line="276" w:lineRule="auto"/>
        <w:ind w:left="157" w:right="102"/>
        <w:jc w:val="both"/>
      </w:pPr>
      <w:r>
        <w:t xml:space="preserve">Secretariat of ISA collects and submits applications to the jury panel, which consists of several highly experienced experts and professionals from around the world that specialize in SSL design, engineering, technology, production and SSL R&amp;D. The jury panel will judge the applications according to the </w:t>
      </w:r>
      <w:r>
        <w:rPr>
          <w:spacing w:val="-4"/>
        </w:rPr>
        <w:t xml:space="preserve">Terms </w:t>
      </w:r>
      <w:r>
        <w:t>of Reference &amp; Rules of Procedure of this</w:t>
      </w:r>
      <w:r>
        <w:rPr>
          <w:spacing w:val="-3"/>
        </w:rPr>
        <w:t xml:space="preserve"> </w:t>
      </w:r>
      <w:r>
        <w:t>award.</w:t>
      </w:r>
    </w:p>
    <w:p w:rsidR="0013235E" w:rsidRDefault="0013235E" w:rsidP="00AA3BDF">
      <w:pPr>
        <w:spacing w:line="276" w:lineRule="auto"/>
        <w:jc w:val="both"/>
      </w:pPr>
    </w:p>
    <w:p w:rsidR="0013235E" w:rsidRDefault="0013235E" w:rsidP="00AA3BDF">
      <w:pPr>
        <w:pStyle w:val="BodyText"/>
        <w:spacing w:line="276" w:lineRule="auto"/>
        <w:jc w:val="both"/>
        <w:rPr>
          <w:sz w:val="20"/>
        </w:rPr>
      </w:pPr>
    </w:p>
    <w:p w:rsidR="0013235E" w:rsidRDefault="0013235E" w:rsidP="00AA3BDF">
      <w:pPr>
        <w:pStyle w:val="BodyText"/>
        <w:spacing w:line="276" w:lineRule="auto"/>
        <w:jc w:val="both"/>
        <w:rPr>
          <w:sz w:val="20"/>
        </w:rPr>
      </w:pPr>
    </w:p>
    <w:p w:rsidR="00840E79" w:rsidRDefault="00840E79" w:rsidP="00AA3BDF">
      <w:pPr>
        <w:pStyle w:val="BodyText"/>
        <w:spacing w:before="210" w:line="276" w:lineRule="auto"/>
        <w:ind w:left="157"/>
        <w:jc w:val="both"/>
        <w:rPr>
          <w:b/>
          <w:w w:val="105"/>
        </w:rPr>
      </w:pPr>
    </w:p>
    <w:p w:rsidR="00840E79" w:rsidRDefault="00840E79" w:rsidP="00AA3BDF">
      <w:pPr>
        <w:pStyle w:val="BodyText"/>
        <w:spacing w:before="210" w:line="276" w:lineRule="auto"/>
        <w:ind w:left="157"/>
        <w:jc w:val="both"/>
        <w:rPr>
          <w:b/>
          <w:w w:val="105"/>
        </w:rPr>
      </w:pPr>
    </w:p>
    <w:p w:rsidR="0013235E" w:rsidRPr="009C0855" w:rsidRDefault="002F4E04" w:rsidP="00AA3BDF">
      <w:pPr>
        <w:pStyle w:val="BodyText"/>
        <w:spacing w:before="210" w:line="276" w:lineRule="auto"/>
        <w:ind w:left="157"/>
        <w:jc w:val="both"/>
        <w:rPr>
          <w:b/>
        </w:rPr>
      </w:pPr>
      <w:r w:rsidRPr="009C0855">
        <w:rPr>
          <w:b/>
          <w:w w:val="105"/>
        </w:rPr>
        <w:t>Release and publicity:</w:t>
      </w:r>
    </w:p>
    <w:p w:rsidR="0013235E" w:rsidRDefault="0013235E" w:rsidP="00AA3BDF">
      <w:pPr>
        <w:pStyle w:val="BodyText"/>
        <w:spacing w:before="8" w:line="276" w:lineRule="auto"/>
        <w:jc w:val="both"/>
        <w:rPr>
          <w:sz w:val="27"/>
        </w:rPr>
      </w:pPr>
    </w:p>
    <w:p w:rsidR="0013235E" w:rsidRDefault="002F4E04" w:rsidP="00AA3BDF">
      <w:pPr>
        <w:pStyle w:val="BodyText"/>
        <w:spacing w:line="276" w:lineRule="auto"/>
        <w:ind w:left="157" w:right="109"/>
        <w:jc w:val="both"/>
      </w:pPr>
      <w:r>
        <w:t xml:space="preserve">The winners of the award will be publicized and promoted by ISA in printed </w:t>
      </w:r>
      <w:r w:rsidR="00AA3BDF">
        <w:t>book and</w:t>
      </w:r>
      <w:r>
        <w:t xml:space="preserve"> electronic version to the global SSL industry, relevant national government agencies, R&amp;D organizations, application departments, procurement groups, and international organizations,</w:t>
      </w:r>
      <w:r>
        <w:rPr>
          <w:spacing w:val="-1"/>
        </w:rPr>
        <w:t xml:space="preserve"> </w:t>
      </w:r>
      <w:r>
        <w:t>etc..</w:t>
      </w:r>
    </w:p>
    <w:p w:rsidR="0013235E" w:rsidRDefault="002F4E04" w:rsidP="00AA3BDF">
      <w:pPr>
        <w:pStyle w:val="BodyText"/>
        <w:spacing w:before="160" w:line="276" w:lineRule="auto"/>
        <w:ind w:left="157" w:right="107"/>
        <w:jc w:val="both"/>
      </w:pPr>
      <w:r>
        <w:t>The applications will be collected from several types as shown below, and one project can only select one type.</w:t>
      </w:r>
    </w:p>
    <w:p w:rsidR="0013235E" w:rsidRDefault="002F4E04" w:rsidP="00AA3BDF">
      <w:pPr>
        <w:pStyle w:val="BodyText"/>
        <w:spacing w:before="10" w:line="276" w:lineRule="auto"/>
        <w:jc w:val="both"/>
        <w:rPr>
          <w:sz w:val="10"/>
        </w:rPr>
      </w:pPr>
      <w:r>
        <w:rPr>
          <w:noProof/>
        </w:rPr>
        <w:drawing>
          <wp:anchor distT="0" distB="0" distL="0" distR="0" simplePos="0" relativeHeight="268434431" behindDoc="1" locked="0" layoutInCell="1" allowOverlap="1">
            <wp:simplePos x="0" y="0"/>
            <wp:positionH relativeFrom="page">
              <wp:posOffset>1112519</wp:posOffset>
            </wp:positionH>
            <wp:positionV relativeFrom="paragraph">
              <wp:posOffset>104676</wp:posOffset>
            </wp:positionV>
            <wp:extent cx="5302163" cy="164687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5302163" cy="1646872"/>
                    </a:xfrm>
                    <a:prstGeom prst="rect">
                      <a:avLst/>
                    </a:prstGeom>
                  </pic:spPr>
                </pic:pic>
              </a:graphicData>
            </a:graphic>
          </wp:anchor>
        </w:drawing>
      </w:r>
    </w:p>
    <w:p w:rsidR="0013235E" w:rsidRDefault="0013235E" w:rsidP="00AA3BDF">
      <w:pPr>
        <w:pStyle w:val="BodyText"/>
        <w:spacing w:before="2" w:line="276" w:lineRule="auto"/>
        <w:jc w:val="both"/>
        <w:rPr>
          <w:sz w:val="30"/>
        </w:rPr>
      </w:pPr>
    </w:p>
    <w:p w:rsidR="0013235E" w:rsidRDefault="0013235E" w:rsidP="00AA3BDF">
      <w:pPr>
        <w:pStyle w:val="BodyText"/>
        <w:spacing w:before="10" w:line="276" w:lineRule="auto"/>
        <w:jc w:val="both"/>
      </w:pPr>
    </w:p>
    <w:p w:rsidR="0013235E" w:rsidRDefault="002F4E04" w:rsidP="00AA3BDF">
      <w:pPr>
        <w:pStyle w:val="BodyText"/>
        <w:spacing w:line="276" w:lineRule="auto"/>
        <w:ind w:left="157" w:right="112"/>
        <w:jc w:val="both"/>
      </w:pPr>
      <w:r>
        <w:t xml:space="preserve">Please submit your applications before </w:t>
      </w:r>
      <w:r w:rsidR="00A4043F" w:rsidRPr="00CC40EF">
        <w:rPr>
          <w:b/>
        </w:rPr>
        <w:t>30</w:t>
      </w:r>
      <w:r w:rsidR="00A4043F" w:rsidRPr="00CC40EF">
        <w:rPr>
          <w:b/>
          <w:vertAlign w:val="superscript"/>
        </w:rPr>
        <w:t>th</w:t>
      </w:r>
      <w:r w:rsidR="00A4043F" w:rsidRPr="00CC40EF">
        <w:rPr>
          <w:b/>
        </w:rPr>
        <w:t xml:space="preserve"> May</w:t>
      </w:r>
      <w:r w:rsidRPr="00CC40EF">
        <w:rPr>
          <w:b/>
        </w:rPr>
        <w:t xml:space="preserve"> 2019</w:t>
      </w:r>
      <w:r w:rsidR="00A4043F">
        <w:t xml:space="preserve"> at ELCOMA office and do n</w:t>
      </w:r>
      <w:r>
        <w:t xml:space="preserve">ot to miss the opportunity of demonstrating your </w:t>
      </w:r>
      <w:r w:rsidR="00A4043F">
        <w:t>projects</w:t>
      </w:r>
      <w:r>
        <w:t xml:space="preserve"> to the world.</w:t>
      </w:r>
    </w:p>
    <w:p w:rsidR="0013235E" w:rsidRDefault="00A4043F" w:rsidP="00AA3BDF">
      <w:pPr>
        <w:pStyle w:val="BodyText"/>
        <w:spacing w:before="153" w:line="276" w:lineRule="auto"/>
        <w:ind w:left="157" w:right="102"/>
        <w:jc w:val="both"/>
      </w:pPr>
      <w:r>
        <w:t>ELCOMA</w:t>
      </w:r>
      <w:r w:rsidR="002F4E04">
        <w:t xml:space="preserve"> will have a preliminary screen on the applications and then submit </w:t>
      </w:r>
      <w:r>
        <w:t>to ISA. T</w:t>
      </w:r>
      <w:r w:rsidR="002F4E04">
        <w:t xml:space="preserve">hose who fit the required entries </w:t>
      </w:r>
      <w:r>
        <w:t>will be given to</w:t>
      </w:r>
      <w:r w:rsidR="002F4E04">
        <w:t xml:space="preserve"> the Jury Panel comprised of highly experienced experts for their evaluation. The successful applications (winners) will be </w:t>
      </w:r>
      <w:r>
        <w:t>announced</w:t>
      </w:r>
      <w:r w:rsidR="002F4E04">
        <w:t xml:space="preserve"> and presented to the public at ISA General Assemb</w:t>
      </w:r>
      <w:r>
        <w:t xml:space="preserve">ly in October or November, 2019 at China. </w:t>
      </w:r>
    </w:p>
    <w:p w:rsidR="0013235E" w:rsidRDefault="0013235E" w:rsidP="00AA3BDF">
      <w:pPr>
        <w:spacing w:line="276" w:lineRule="auto"/>
        <w:ind w:left="157"/>
        <w:jc w:val="both"/>
      </w:pPr>
    </w:p>
    <w:p w:rsidR="00AA3BDF" w:rsidRPr="00AA3BDF" w:rsidRDefault="00A4043F" w:rsidP="00AA3BDF">
      <w:pPr>
        <w:spacing w:line="276" w:lineRule="auto"/>
        <w:ind w:left="157"/>
        <w:jc w:val="both"/>
        <w:rPr>
          <w:sz w:val="24"/>
          <w:szCs w:val="24"/>
        </w:rPr>
      </w:pPr>
      <w:r w:rsidRPr="00AA3BDF">
        <w:rPr>
          <w:sz w:val="24"/>
          <w:szCs w:val="24"/>
        </w:rPr>
        <w:t xml:space="preserve">The necessary form can be </w:t>
      </w:r>
      <w:r w:rsidR="00AA3BDF" w:rsidRPr="00AA3BDF">
        <w:rPr>
          <w:sz w:val="24"/>
          <w:szCs w:val="24"/>
        </w:rPr>
        <w:t>provided</w:t>
      </w:r>
      <w:r w:rsidR="00786588">
        <w:rPr>
          <w:sz w:val="24"/>
          <w:szCs w:val="24"/>
        </w:rPr>
        <w:t xml:space="preserve"> on request</w:t>
      </w:r>
      <w:r w:rsidR="00AA3BDF" w:rsidRPr="00AA3BDF">
        <w:rPr>
          <w:sz w:val="24"/>
          <w:szCs w:val="24"/>
        </w:rPr>
        <w:t xml:space="preserve"> by Ms. Nikita Gupta,   Contact No. 011-41556644 or Email: </w:t>
      </w:r>
      <w:hyperlink r:id="rId8" w:history="1">
        <w:r w:rsidR="00AA3BDF" w:rsidRPr="00AA3BDF">
          <w:rPr>
            <w:rStyle w:val="Hyperlink"/>
            <w:sz w:val="24"/>
            <w:szCs w:val="24"/>
          </w:rPr>
          <w:t>nikita@elcomaindia.com</w:t>
        </w:r>
      </w:hyperlink>
      <w:r w:rsidR="00AA3BDF" w:rsidRPr="00AA3BDF">
        <w:rPr>
          <w:sz w:val="24"/>
          <w:szCs w:val="24"/>
        </w:rPr>
        <w:t xml:space="preserve">. The completed applications along with high pixel photographs can also be submitted to Ms. Nikita Gupta. </w:t>
      </w:r>
    </w:p>
    <w:sectPr w:rsidR="00AA3BDF" w:rsidRPr="00AA3BDF" w:rsidSect="00840E79">
      <w:headerReference w:type="default" r:id="rId9"/>
      <w:footerReference w:type="default" r:id="rId10"/>
      <w:pgSz w:w="11900" w:h="16840"/>
      <w:pgMar w:top="1660" w:right="1100" w:bottom="1640" w:left="1640" w:header="466" w:footer="1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0EF" w:rsidRDefault="00CC40EF" w:rsidP="0013235E">
      <w:r>
        <w:separator/>
      </w:r>
    </w:p>
  </w:endnote>
  <w:endnote w:type="continuationSeparator" w:id="0">
    <w:p w:rsidR="00CC40EF" w:rsidRDefault="00CC40EF" w:rsidP="001323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0EF" w:rsidRDefault="00CC40EF">
    <w:pPr>
      <w:pStyle w:val="BodyText"/>
      <w:spacing w:line="14" w:lineRule="auto"/>
      <w:rPr>
        <w:sz w:val="20"/>
      </w:rPr>
    </w:pPr>
    <w:r w:rsidRPr="00507C99">
      <w:pict>
        <v:shapetype id="_x0000_t202" coordsize="21600,21600" o:spt="202" path="m,l,21600r21600,l21600,xe">
          <v:stroke joinstyle="miter"/>
          <v:path gradientshapeok="t" o:connecttype="rect"/>
        </v:shapetype>
        <v:shape id="_x0000_s1025" type="#_x0000_t202" style="position:absolute;margin-left:293.2pt;margin-top:757.9pt;width:8.6pt;height:11.2pt;z-index:-251658240;mso-position-horizontal-relative:page;mso-position-vertical-relative:page" filled="f" stroked="f">
          <v:textbox inset="0,0,0,0">
            <w:txbxContent>
              <w:p w:rsidR="00CC40EF" w:rsidRDefault="00CC40EF">
                <w:pPr>
                  <w:spacing w:before="31" w:line="193" w:lineRule="exact"/>
                  <w:ind w:left="40"/>
                  <w:rPr>
                    <w:rFonts w:ascii="Trebuchet MS"/>
                    <w:sz w:val="18"/>
                  </w:rPr>
                </w:pPr>
                <w:r>
                  <w:fldChar w:fldCharType="begin"/>
                </w:r>
                <w:r>
                  <w:rPr>
                    <w:rFonts w:ascii="Trebuchet MS"/>
                    <w:w w:val="96"/>
                    <w:sz w:val="18"/>
                  </w:rPr>
                  <w:instrText xml:space="preserve"> PAGE </w:instrText>
                </w:r>
                <w:r>
                  <w:fldChar w:fldCharType="separate"/>
                </w:r>
                <w:r w:rsidR="00786588">
                  <w:rPr>
                    <w:rFonts w:ascii="Trebuchet MS"/>
                    <w:noProof/>
                    <w:w w:val="96"/>
                    <w:sz w:val="18"/>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0EF" w:rsidRDefault="00CC40EF" w:rsidP="0013235E">
      <w:r>
        <w:separator/>
      </w:r>
    </w:p>
  </w:footnote>
  <w:footnote w:type="continuationSeparator" w:id="0">
    <w:p w:rsidR="00CC40EF" w:rsidRDefault="00CC40EF" w:rsidP="001323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0EF" w:rsidRDefault="00CC40EF" w:rsidP="00840E79">
    <w:pPr>
      <w:pStyle w:val="BodyText"/>
      <w:spacing w:line="14" w:lineRule="auto"/>
      <w:rPr>
        <w:sz w:val="20"/>
      </w:rPr>
    </w:pPr>
    <w:r>
      <w:rPr>
        <w:noProof/>
      </w:rPr>
      <w:drawing>
        <wp:anchor distT="0" distB="0" distL="0" distR="0" simplePos="0" relativeHeight="251657216" behindDoc="1" locked="0" layoutInCell="1" allowOverlap="1">
          <wp:simplePos x="0" y="0"/>
          <wp:positionH relativeFrom="page">
            <wp:posOffset>3206495</wp:posOffset>
          </wp:positionH>
          <wp:positionV relativeFrom="page">
            <wp:posOffset>295650</wp:posOffset>
          </wp:positionV>
          <wp:extent cx="982980" cy="6385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82980" cy="63855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4554C"/>
    <w:multiLevelType w:val="hybridMultilevel"/>
    <w:tmpl w:val="55260880"/>
    <w:lvl w:ilvl="0" w:tplc="93A49D10">
      <w:start w:val="1"/>
      <w:numFmt w:val="decimal"/>
      <w:lvlText w:val="%1."/>
      <w:lvlJc w:val="left"/>
      <w:pPr>
        <w:ind w:left="383" w:hanging="226"/>
        <w:jc w:val="left"/>
      </w:pPr>
      <w:rPr>
        <w:rFonts w:ascii="Times New Roman" w:eastAsia="Times New Roman" w:hAnsi="Times New Roman" w:cs="Times New Roman" w:hint="default"/>
        <w:w w:val="100"/>
        <w:sz w:val="24"/>
        <w:szCs w:val="24"/>
      </w:rPr>
    </w:lvl>
    <w:lvl w:ilvl="1" w:tplc="0A826DC0">
      <w:start w:val="1"/>
      <w:numFmt w:val="decimal"/>
      <w:lvlText w:val="%2."/>
      <w:lvlJc w:val="left"/>
      <w:pPr>
        <w:ind w:left="757" w:hanging="240"/>
        <w:jc w:val="left"/>
      </w:pPr>
      <w:rPr>
        <w:rFonts w:ascii="Times New Roman" w:eastAsia="Times New Roman" w:hAnsi="Times New Roman" w:cs="Times New Roman" w:hint="default"/>
        <w:spacing w:val="-3"/>
        <w:w w:val="96"/>
        <w:sz w:val="24"/>
        <w:szCs w:val="24"/>
      </w:rPr>
    </w:lvl>
    <w:lvl w:ilvl="2" w:tplc="BF128C9C">
      <w:numFmt w:val="bullet"/>
      <w:lvlText w:val="•"/>
      <w:lvlJc w:val="left"/>
      <w:pPr>
        <w:ind w:left="1631" w:hanging="240"/>
      </w:pPr>
      <w:rPr>
        <w:rFonts w:hint="default"/>
      </w:rPr>
    </w:lvl>
    <w:lvl w:ilvl="3" w:tplc="BF4E840E">
      <w:numFmt w:val="bullet"/>
      <w:lvlText w:val="•"/>
      <w:lvlJc w:val="left"/>
      <w:pPr>
        <w:ind w:left="2502" w:hanging="240"/>
      </w:pPr>
      <w:rPr>
        <w:rFonts w:hint="default"/>
      </w:rPr>
    </w:lvl>
    <w:lvl w:ilvl="4" w:tplc="A860FC8C">
      <w:numFmt w:val="bullet"/>
      <w:lvlText w:val="•"/>
      <w:lvlJc w:val="left"/>
      <w:pPr>
        <w:ind w:left="3373" w:hanging="240"/>
      </w:pPr>
      <w:rPr>
        <w:rFonts w:hint="default"/>
      </w:rPr>
    </w:lvl>
    <w:lvl w:ilvl="5" w:tplc="1052574C">
      <w:numFmt w:val="bullet"/>
      <w:lvlText w:val="•"/>
      <w:lvlJc w:val="left"/>
      <w:pPr>
        <w:ind w:left="4244" w:hanging="240"/>
      </w:pPr>
      <w:rPr>
        <w:rFonts w:hint="default"/>
      </w:rPr>
    </w:lvl>
    <w:lvl w:ilvl="6" w:tplc="57526E90">
      <w:numFmt w:val="bullet"/>
      <w:lvlText w:val="•"/>
      <w:lvlJc w:val="left"/>
      <w:pPr>
        <w:ind w:left="5115" w:hanging="240"/>
      </w:pPr>
      <w:rPr>
        <w:rFonts w:hint="default"/>
      </w:rPr>
    </w:lvl>
    <w:lvl w:ilvl="7" w:tplc="F5D45C1E">
      <w:numFmt w:val="bullet"/>
      <w:lvlText w:val="•"/>
      <w:lvlJc w:val="left"/>
      <w:pPr>
        <w:ind w:left="5986" w:hanging="240"/>
      </w:pPr>
      <w:rPr>
        <w:rFonts w:hint="default"/>
      </w:rPr>
    </w:lvl>
    <w:lvl w:ilvl="8" w:tplc="5692721A">
      <w:numFmt w:val="bullet"/>
      <w:lvlText w:val="•"/>
      <w:lvlJc w:val="left"/>
      <w:pPr>
        <w:ind w:left="6857" w:hanging="2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
  <w:rsids>
    <w:rsidRoot w:val="0013235E"/>
    <w:rsid w:val="0013235E"/>
    <w:rsid w:val="002F4E04"/>
    <w:rsid w:val="002F5880"/>
    <w:rsid w:val="003B6DEC"/>
    <w:rsid w:val="00507C99"/>
    <w:rsid w:val="00786588"/>
    <w:rsid w:val="00840E79"/>
    <w:rsid w:val="009C0855"/>
    <w:rsid w:val="00A4043F"/>
    <w:rsid w:val="00AA3BDF"/>
    <w:rsid w:val="00CC40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235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3235E"/>
    <w:rPr>
      <w:sz w:val="24"/>
      <w:szCs w:val="24"/>
    </w:rPr>
  </w:style>
  <w:style w:type="paragraph" w:styleId="ListParagraph">
    <w:name w:val="List Paragraph"/>
    <w:basedOn w:val="Normal"/>
    <w:uiPriority w:val="1"/>
    <w:qFormat/>
    <w:rsid w:val="0013235E"/>
    <w:pPr>
      <w:ind w:left="757" w:hanging="240"/>
    </w:pPr>
  </w:style>
  <w:style w:type="paragraph" w:customStyle="1" w:styleId="TableParagraph">
    <w:name w:val="Table Paragraph"/>
    <w:basedOn w:val="Normal"/>
    <w:uiPriority w:val="1"/>
    <w:qFormat/>
    <w:rsid w:val="0013235E"/>
  </w:style>
  <w:style w:type="paragraph" w:styleId="BalloonText">
    <w:name w:val="Balloon Text"/>
    <w:basedOn w:val="Normal"/>
    <w:link w:val="BalloonTextChar"/>
    <w:uiPriority w:val="99"/>
    <w:semiHidden/>
    <w:unhideWhenUsed/>
    <w:rsid w:val="00A4043F"/>
    <w:rPr>
      <w:rFonts w:ascii="Tahoma" w:hAnsi="Tahoma" w:cs="Tahoma"/>
      <w:sz w:val="16"/>
      <w:szCs w:val="16"/>
    </w:rPr>
  </w:style>
  <w:style w:type="character" w:customStyle="1" w:styleId="BalloonTextChar">
    <w:name w:val="Balloon Text Char"/>
    <w:basedOn w:val="DefaultParagraphFont"/>
    <w:link w:val="BalloonText"/>
    <w:uiPriority w:val="99"/>
    <w:semiHidden/>
    <w:rsid w:val="00A4043F"/>
    <w:rPr>
      <w:rFonts w:ascii="Tahoma" w:eastAsia="Times New Roman" w:hAnsi="Tahoma" w:cs="Tahoma"/>
      <w:sz w:val="16"/>
      <w:szCs w:val="16"/>
    </w:rPr>
  </w:style>
  <w:style w:type="character" w:styleId="Hyperlink">
    <w:name w:val="Hyperlink"/>
    <w:basedOn w:val="DefaultParagraphFont"/>
    <w:uiPriority w:val="99"/>
    <w:unhideWhenUsed/>
    <w:rsid w:val="00AA3BDF"/>
    <w:rPr>
      <w:color w:val="0000FF" w:themeColor="hyperlink"/>
      <w:u w:val="single"/>
    </w:rPr>
  </w:style>
  <w:style w:type="paragraph" w:styleId="Header">
    <w:name w:val="header"/>
    <w:basedOn w:val="Normal"/>
    <w:link w:val="HeaderChar"/>
    <w:uiPriority w:val="99"/>
    <w:semiHidden/>
    <w:unhideWhenUsed/>
    <w:rsid w:val="00840E79"/>
    <w:pPr>
      <w:tabs>
        <w:tab w:val="center" w:pos="4680"/>
        <w:tab w:val="right" w:pos="9360"/>
      </w:tabs>
    </w:pPr>
  </w:style>
  <w:style w:type="character" w:customStyle="1" w:styleId="HeaderChar">
    <w:name w:val="Header Char"/>
    <w:basedOn w:val="DefaultParagraphFont"/>
    <w:link w:val="Header"/>
    <w:uiPriority w:val="99"/>
    <w:semiHidden/>
    <w:rsid w:val="00840E79"/>
    <w:rPr>
      <w:rFonts w:ascii="Times New Roman" w:eastAsia="Times New Roman" w:hAnsi="Times New Roman" w:cs="Times New Roman"/>
    </w:rPr>
  </w:style>
  <w:style w:type="paragraph" w:styleId="Footer">
    <w:name w:val="footer"/>
    <w:basedOn w:val="Normal"/>
    <w:link w:val="FooterChar"/>
    <w:uiPriority w:val="99"/>
    <w:semiHidden/>
    <w:unhideWhenUsed/>
    <w:rsid w:val="00840E79"/>
    <w:pPr>
      <w:tabs>
        <w:tab w:val="center" w:pos="4680"/>
        <w:tab w:val="right" w:pos="9360"/>
      </w:tabs>
    </w:pPr>
  </w:style>
  <w:style w:type="character" w:customStyle="1" w:styleId="FooterChar">
    <w:name w:val="Footer Char"/>
    <w:basedOn w:val="DefaultParagraphFont"/>
    <w:link w:val="Footer"/>
    <w:uiPriority w:val="99"/>
    <w:semiHidden/>
    <w:rsid w:val="00840E79"/>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nikita@elcomaindia.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Call?for?applications on showcases?TOP100 2019-修改1清稿.docx</vt:lpstr>
    </vt:vector>
  </TitlesOfParts>
  <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Call?for?applications on showcases?TOP100 2019-修改1清稿.docx</dc:title>
  <dc:creator>Administrator</dc:creator>
  <cp:lastModifiedBy>Deepak</cp:lastModifiedBy>
  <cp:revision>7</cp:revision>
  <cp:lastPrinted>2019-03-20T06:25:00Z</cp:lastPrinted>
  <dcterms:created xsi:type="dcterms:W3CDTF">2019-03-20T06:05:00Z</dcterms:created>
  <dcterms:modified xsi:type="dcterms:W3CDTF">2019-03-20T06:42:00Z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UnknownApplication</vt:lpwstr>
  </property>
  <property fmtid="{D5CDD505-2E9C-101B-9397-08002B2CF9AE}" pid="4" name="LastSaved">
    <vt:filetime>2019-03-20T00:00:00Z</vt:filetime>
  </property>
</Properties>
</file>